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150" w:beforeAutospacing="0" w:after="0" w:afterAutospacing="0" w:line="420" w:lineRule="atLeast"/>
        <w:jc w:val="center"/>
        <w:rPr>
          <w:rFonts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湖南艺术职业学院教学与行政督查实施方案</w:t>
      </w:r>
    </w:p>
    <w:p>
      <w:pPr>
        <w:pStyle w:val="4"/>
        <w:widowControl/>
        <w:wordWrap w:val="0"/>
        <w:spacing w:before="150" w:beforeAutospacing="0" w:after="0" w:afterAutospacing="0" w:line="420" w:lineRule="atLeast"/>
        <w:jc w:val="both"/>
        <w:rPr>
          <w:rFonts w:ascii="微软雅黑" w:hAnsi="微软雅黑" w:eastAsia="微软雅黑" w:cs="微软雅黑"/>
          <w:color w:val="000000"/>
          <w:shd w:val="clear" w:color="auto" w:fill="FFFFFF"/>
          <w:lang w:bidi="ar"/>
        </w:rPr>
      </w:pPr>
    </w:p>
    <w:p>
      <w:pPr>
        <w:keepNext w:val="0"/>
        <w:keepLines w:val="0"/>
        <w:pageBreakBefore w:val="0"/>
        <w:widowControl/>
        <w:shd w:val="clear" w:color="auto" w:fill="FFFFFF"/>
        <w:kinsoku/>
        <w:overflowPunct/>
        <w:topLinePunct w:val="0"/>
        <w:autoSpaceDE/>
        <w:autoSpaceDN/>
        <w:bidi w:val="0"/>
        <w:adjustRightInd/>
        <w:snapToGrid/>
        <w:spacing w:line="240" w:lineRule="auto"/>
        <w:ind w:firstLine="640" w:firstLineChars="200"/>
        <w:textAlignment w:val="auto"/>
        <w:rPr>
          <w:rFonts w:ascii="黑体" w:hAnsi="宋体" w:eastAsia="黑体" w:cs="黑体"/>
          <w:color w:val="auto"/>
          <w:sz w:val="32"/>
          <w:szCs w:val="32"/>
        </w:rPr>
      </w:pPr>
      <w:r>
        <w:rPr>
          <w:rFonts w:hint="eastAsia" w:ascii="仿宋" w:hAnsi="仿宋" w:eastAsia="仿宋" w:cs="仿宋"/>
          <w:color w:val="auto"/>
          <w:kern w:val="0"/>
          <w:sz w:val="32"/>
          <w:szCs w:val="32"/>
          <w:lang w:bidi="ar"/>
        </w:rPr>
        <w:t>围绕提升学校全方位高质量发展目标，现就进一步加强学校教学和行政管理，建立校院两级多方位、多环节、多形式的联动督查机制，制订如下实施方案。</w:t>
      </w:r>
      <w:r>
        <w:rPr>
          <w:rFonts w:hint="eastAsia" w:ascii="仿宋" w:hAnsi="仿宋" w:eastAsia="仿宋" w:cs="仿宋"/>
          <w:color w:val="auto"/>
          <w:kern w:val="0"/>
          <w:sz w:val="32"/>
          <w:szCs w:val="32"/>
          <w:lang w:bidi="ar"/>
        </w:rPr>
        <w:br w:type="textWrapping"/>
      </w:r>
      <w:r>
        <w:rPr>
          <w:rFonts w:hint="eastAsia" w:ascii="微软雅黑" w:hAnsi="微软雅黑" w:eastAsia="微软雅黑" w:cs="微软雅黑"/>
          <w:color w:val="auto"/>
          <w:spacing w:val="10"/>
          <w:kern w:val="0"/>
          <w:sz w:val="24"/>
          <w:shd w:val="clear" w:color="auto" w:fill="FFFFFF"/>
          <w:lang w:bidi="ar"/>
        </w:rPr>
        <w:t xml:space="preserve">     </w:t>
      </w:r>
      <w:r>
        <w:rPr>
          <w:rFonts w:hint="eastAsia" w:ascii="黑体" w:hAnsi="宋体" w:eastAsia="黑体" w:cs="黑体"/>
          <w:color w:val="auto"/>
          <w:sz w:val="32"/>
          <w:szCs w:val="32"/>
        </w:rPr>
        <w:t>一、督查组织架构</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仿宋" w:hAnsi="仿宋" w:eastAsia="仿宋" w:cs="仿宋"/>
          <w:color w:val="auto"/>
          <w:sz w:val="32"/>
          <w:szCs w:val="32"/>
        </w:rPr>
      </w:pPr>
      <w:r>
        <w:rPr>
          <w:rFonts w:hint="eastAsia" w:ascii="方正楷体_GB2312" w:hAnsi="方正楷体_GB2312" w:eastAsia="方正楷体_GB2312" w:cs="方正楷体_GB2312"/>
          <w:b/>
          <w:bCs/>
          <w:color w:val="auto"/>
          <w:sz w:val="32"/>
          <w:szCs w:val="32"/>
        </w:rPr>
        <w:t>校级督查组：</w:t>
      </w:r>
      <w:r>
        <w:rPr>
          <w:rFonts w:hint="eastAsia" w:ascii="仿宋" w:hAnsi="仿宋" w:eastAsia="仿宋" w:cs="仿宋"/>
          <w:color w:val="auto"/>
          <w:sz w:val="32"/>
          <w:szCs w:val="32"/>
        </w:rPr>
        <w:t>学校成立由校长任组长，其他校领导为副组长，教学管理、学生管理、人事管理、后勤管理和安保管理等相关职能部门负责人为组员，组成校级督查组。</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仿宋" w:hAnsi="仿宋" w:eastAsia="仿宋" w:cs="仿宋"/>
          <w:color w:val="auto"/>
          <w:sz w:val="32"/>
          <w:szCs w:val="32"/>
        </w:rPr>
      </w:pPr>
      <w:r>
        <w:rPr>
          <w:rFonts w:hint="eastAsia" w:ascii="方正楷体_GB2312" w:hAnsi="方正楷体_GB2312" w:eastAsia="方正楷体_GB2312" w:cs="方正楷体_GB2312"/>
          <w:b/>
          <w:bCs/>
          <w:color w:val="auto"/>
          <w:sz w:val="32"/>
          <w:szCs w:val="32"/>
        </w:rPr>
        <w:t>院级督查组：</w:t>
      </w:r>
      <w:r>
        <w:rPr>
          <w:rFonts w:hint="eastAsia" w:ascii="仿宋" w:hAnsi="仿宋" w:eastAsia="仿宋" w:cs="仿宋"/>
          <w:color w:val="auto"/>
          <w:sz w:val="32"/>
          <w:szCs w:val="32"/>
        </w:rPr>
        <w:t>各二级学院（部）督查</w:t>
      </w:r>
      <w:r>
        <w:rPr>
          <w:rFonts w:ascii="仿宋" w:hAnsi="仿宋" w:eastAsia="仿宋" w:cs="仿宋"/>
          <w:color w:val="auto"/>
          <w:sz w:val="32"/>
          <w:szCs w:val="32"/>
        </w:rPr>
        <w:t>组</w:t>
      </w:r>
      <w:r>
        <w:rPr>
          <w:rFonts w:hint="eastAsia" w:ascii="仿宋" w:hAnsi="仿宋" w:eastAsia="仿宋" w:cs="仿宋"/>
          <w:color w:val="auto"/>
          <w:sz w:val="32"/>
          <w:szCs w:val="32"/>
        </w:rPr>
        <w:t>主要由院（部）领导、教研室主任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教务干事</w:t>
      </w:r>
      <w:r>
        <w:rPr>
          <w:rFonts w:hint="eastAsia" w:ascii="仿宋" w:hAnsi="仿宋" w:eastAsia="仿宋" w:cs="仿宋"/>
          <w:color w:val="auto"/>
          <w:sz w:val="32"/>
          <w:szCs w:val="32"/>
        </w:rPr>
        <w:t>等</w:t>
      </w:r>
      <w:r>
        <w:rPr>
          <w:rFonts w:hint="eastAsia" w:ascii="仿宋" w:hAnsi="仿宋" w:eastAsia="仿宋" w:cs="仿宋"/>
          <w:color w:val="auto"/>
          <w:sz w:val="32"/>
          <w:szCs w:val="32"/>
          <w:lang w:val="en-US" w:eastAsia="zh-CN"/>
        </w:rPr>
        <w:t>相关人员</w:t>
      </w:r>
      <w:r>
        <w:rPr>
          <w:rFonts w:hint="eastAsia" w:ascii="仿宋" w:hAnsi="仿宋" w:eastAsia="仿宋" w:cs="仿宋"/>
          <w:color w:val="auto"/>
          <w:sz w:val="32"/>
          <w:szCs w:val="32"/>
        </w:rPr>
        <w:t>组成。</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黑体" w:hAnsi="宋体" w:eastAsia="黑体" w:cs="黑体"/>
          <w:color w:val="auto"/>
          <w:sz w:val="32"/>
          <w:szCs w:val="32"/>
        </w:rPr>
      </w:pPr>
      <w:r>
        <w:rPr>
          <w:rFonts w:hint="eastAsia" w:ascii="黑体" w:hAnsi="宋体" w:eastAsia="黑体" w:cs="黑体"/>
          <w:color w:val="auto"/>
          <w:sz w:val="32"/>
          <w:szCs w:val="32"/>
        </w:rPr>
        <w:t>二、督查主要内容</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仿宋" w:hAnsi="仿宋" w:eastAsia="仿宋" w:cs="仿宋"/>
          <w:color w:val="auto"/>
          <w:sz w:val="32"/>
          <w:szCs w:val="32"/>
        </w:rPr>
      </w:pPr>
      <w:r>
        <w:rPr>
          <w:rFonts w:hint="eastAsia" w:ascii="方正楷体_GB2312" w:hAnsi="方正楷体_GB2312" w:eastAsia="方正楷体_GB2312" w:cs="方正楷体_GB2312"/>
          <w:b/>
          <w:bCs/>
          <w:color w:val="auto"/>
          <w:sz w:val="32"/>
          <w:szCs w:val="32"/>
        </w:rPr>
        <w:t>校级督查组：</w:t>
      </w:r>
      <w:r>
        <w:rPr>
          <w:rFonts w:hint="eastAsia" w:ascii="仿宋" w:hAnsi="仿宋" w:eastAsia="仿宋" w:cs="仿宋"/>
          <w:color w:val="auto"/>
          <w:sz w:val="32"/>
          <w:szCs w:val="32"/>
        </w:rPr>
        <w:t>对学校的日常教学运行、行政办公、教工出勤、学生学风、设施设备、安全保卫、场地使用等全方位进行督查，及时掌握各方面情况</w:t>
      </w:r>
      <w:r>
        <w:rPr>
          <w:rFonts w:ascii="仿宋" w:hAnsi="仿宋" w:eastAsia="仿宋" w:cs="仿宋"/>
          <w:color w:val="auto"/>
          <w:sz w:val="32"/>
          <w:szCs w:val="32"/>
        </w:rPr>
        <w:t>，</w:t>
      </w:r>
      <w:r>
        <w:rPr>
          <w:rFonts w:hint="eastAsia" w:ascii="仿宋" w:hAnsi="仿宋" w:eastAsia="仿宋" w:cs="仿宋"/>
          <w:color w:val="auto"/>
          <w:sz w:val="32"/>
          <w:szCs w:val="32"/>
        </w:rPr>
        <w:t>听取各级部门意见。</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仿宋" w:hAnsi="仿宋" w:eastAsia="仿宋" w:cs="仿宋"/>
          <w:color w:val="auto"/>
          <w:sz w:val="32"/>
          <w:szCs w:val="32"/>
        </w:rPr>
      </w:pPr>
      <w:r>
        <w:rPr>
          <w:rFonts w:hint="eastAsia" w:ascii="方正楷体_GB2312" w:hAnsi="方正楷体_GB2312" w:eastAsia="方正楷体_GB2312" w:cs="方正楷体_GB2312"/>
          <w:b/>
          <w:bCs/>
          <w:color w:val="auto"/>
          <w:sz w:val="32"/>
          <w:szCs w:val="32"/>
        </w:rPr>
        <w:t>院级督查组：</w:t>
      </w:r>
      <w:r>
        <w:rPr>
          <w:rFonts w:hint="eastAsia" w:ascii="仿宋" w:hAnsi="仿宋" w:eastAsia="仿宋" w:cs="仿宋"/>
          <w:color w:val="auto"/>
          <w:sz w:val="32"/>
          <w:szCs w:val="32"/>
        </w:rPr>
        <w:t>二级学</w:t>
      </w:r>
      <w:r>
        <w:rPr>
          <w:rFonts w:ascii="仿宋" w:hAnsi="仿宋" w:eastAsia="仿宋" w:cs="仿宋"/>
          <w:color w:val="auto"/>
          <w:sz w:val="32"/>
          <w:szCs w:val="32"/>
        </w:rPr>
        <w:t>院</w:t>
      </w:r>
      <w:r>
        <w:rPr>
          <w:rFonts w:hint="eastAsia" w:ascii="仿宋" w:hAnsi="仿宋" w:eastAsia="仿宋" w:cs="仿宋"/>
          <w:color w:val="auto"/>
          <w:sz w:val="32"/>
          <w:szCs w:val="32"/>
        </w:rPr>
        <w:t>（部）对各自的日常</w:t>
      </w:r>
      <w:r>
        <w:rPr>
          <w:rFonts w:ascii="仿宋" w:hAnsi="仿宋" w:eastAsia="仿宋" w:cs="仿宋"/>
          <w:color w:val="auto"/>
          <w:sz w:val="32"/>
          <w:szCs w:val="32"/>
        </w:rPr>
        <w:t>教</w:t>
      </w:r>
      <w:r>
        <w:rPr>
          <w:rFonts w:hint="eastAsia" w:ascii="仿宋" w:hAnsi="仿宋" w:eastAsia="仿宋" w:cs="仿宋"/>
          <w:color w:val="auto"/>
          <w:sz w:val="32"/>
          <w:szCs w:val="32"/>
        </w:rPr>
        <w:t>学及相关工作进行督查</w:t>
      </w:r>
      <w:r>
        <w:rPr>
          <w:rFonts w:ascii="仿宋" w:hAnsi="仿宋" w:eastAsia="仿宋" w:cs="仿宋"/>
          <w:color w:val="auto"/>
          <w:sz w:val="32"/>
          <w:szCs w:val="32"/>
        </w:rPr>
        <w:t>，及时</w:t>
      </w:r>
      <w:r>
        <w:rPr>
          <w:rFonts w:hint="eastAsia" w:ascii="仿宋" w:hAnsi="仿宋" w:eastAsia="仿宋" w:cs="仿宋"/>
          <w:color w:val="auto"/>
          <w:sz w:val="32"/>
          <w:szCs w:val="32"/>
        </w:rPr>
        <w:t>发现本院（部）</w:t>
      </w:r>
      <w:r>
        <w:rPr>
          <w:rFonts w:ascii="仿宋" w:hAnsi="仿宋" w:eastAsia="仿宋" w:cs="仿宋"/>
          <w:color w:val="auto"/>
          <w:sz w:val="32"/>
          <w:szCs w:val="32"/>
        </w:rPr>
        <w:t>教学和</w:t>
      </w:r>
      <w:r>
        <w:rPr>
          <w:rFonts w:hint="eastAsia" w:ascii="仿宋" w:hAnsi="仿宋" w:eastAsia="仿宋" w:cs="仿宋"/>
          <w:color w:val="auto"/>
          <w:sz w:val="32"/>
          <w:szCs w:val="32"/>
        </w:rPr>
        <w:t>行政</w:t>
      </w:r>
      <w:r>
        <w:rPr>
          <w:rFonts w:ascii="仿宋" w:hAnsi="仿宋" w:eastAsia="仿宋" w:cs="仿宋"/>
          <w:color w:val="auto"/>
          <w:sz w:val="32"/>
          <w:szCs w:val="32"/>
        </w:rPr>
        <w:t>管理</w:t>
      </w:r>
      <w:r>
        <w:rPr>
          <w:rFonts w:hint="eastAsia" w:ascii="仿宋" w:hAnsi="仿宋" w:eastAsia="仿宋" w:cs="仿宋"/>
          <w:color w:val="auto"/>
          <w:sz w:val="32"/>
          <w:szCs w:val="32"/>
        </w:rPr>
        <w:t>运行过程中存在的问题并及时整改，需相关职能部门配合的及时反馈。</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0" w:firstLineChars="200"/>
        <w:textAlignment w:val="auto"/>
        <w:rPr>
          <w:rFonts w:hint="eastAsia" w:ascii="黑体" w:hAnsi="宋体" w:eastAsia="黑体" w:cs="黑体"/>
          <w:color w:val="auto"/>
          <w:sz w:val="32"/>
          <w:szCs w:val="32"/>
        </w:rPr>
      </w:pP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0" w:firstLineChars="200"/>
        <w:textAlignment w:val="auto"/>
        <w:rPr>
          <w:rFonts w:ascii="黑体" w:hAnsi="宋体" w:eastAsia="黑体" w:cs="黑体"/>
          <w:color w:val="auto"/>
          <w:sz w:val="32"/>
          <w:szCs w:val="32"/>
        </w:rPr>
      </w:pPr>
      <w:r>
        <w:rPr>
          <w:rFonts w:hint="eastAsia" w:ascii="黑体" w:hAnsi="宋体" w:eastAsia="黑体" w:cs="黑体"/>
          <w:color w:val="auto"/>
          <w:sz w:val="32"/>
          <w:szCs w:val="32"/>
        </w:rPr>
        <w:t>三、督查主要形式</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方正楷体_GB2312" w:hAnsi="方正楷体_GB2312" w:eastAsia="方正楷体_GB2312" w:cs="方正楷体_GB2312"/>
          <w:b/>
          <w:bCs/>
          <w:color w:val="auto"/>
          <w:sz w:val="32"/>
          <w:szCs w:val="32"/>
        </w:rPr>
      </w:pPr>
      <w:r>
        <w:rPr>
          <w:rFonts w:hint="eastAsia" w:ascii="方正楷体_GB2312" w:hAnsi="方正楷体_GB2312" w:eastAsia="方正楷体_GB2312" w:cs="方正楷体_GB2312"/>
          <w:b/>
          <w:bCs/>
          <w:color w:val="auto"/>
          <w:sz w:val="32"/>
          <w:szCs w:val="32"/>
        </w:rPr>
        <w:t>（一）校级督查</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0" w:firstLineChars="200"/>
        <w:jc w:val="both"/>
        <w:textAlignment w:val="auto"/>
        <w:rPr>
          <w:rFonts w:ascii="仿宋" w:hAnsi="仿宋" w:eastAsia="仿宋" w:cs="仿宋"/>
          <w:color w:val="auto"/>
          <w:sz w:val="32"/>
          <w:szCs w:val="32"/>
          <w:lang w:bidi="ar"/>
        </w:rPr>
      </w:pPr>
      <w:r>
        <w:rPr>
          <w:rFonts w:hint="eastAsia" w:ascii="仿宋" w:hAnsi="仿宋" w:eastAsia="仿宋" w:cs="仿宋"/>
          <w:color w:val="auto"/>
          <w:sz w:val="32"/>
          <w:szCs w:val="32"/>
          <w:lang w:bidi="ar"/>
        </w:rPr>
        <w:t>1.每周由一名校领导带队，相关职能部门参与，进行校园随机督查</w:t>
      </w:r>
      <w:r>
        <w:rPr>
          <w:rFonts w:hint="eastAsia" w:ascii="仿宋" w:hAnsi="仿宋" w:eastAsia="仿宋" w:cs="仿宋"/>
          <w:color w:val="auto"/>
          <w:sz w:val="32"/>
          <w:szCs w:val="32"/>
          <w:lang w:val="en-US" w:eastAsia="zh-CN" w:bidi="ar"/>
        </w:rPr>
        <w:t>至少</w:t>
      </w:r>
      <w:r>
        <w:rPr>
          <w:rFonts w:hint="eastAsia" w:ascii="仿宋" w:hAnsi="仿宋" w:eastAsia="仿宋" w:cs="仿宋"/>
          <w:color w:val="auto"/>
          <w:sz w:val="32"/>
          <w:szCs w:val="32"/>
          <w:lang w:bidi="ar"/>
        </w:rPr>
        <w:t>一次。</w:t>
      </w:r>
    </w:p>
    <w:p>
      <w:pPr>
        <w:keepNext w:val="0"/>
        <w:keepLines w:val="0"/>
        <w:pageBreakBefore w:val="0"/>
        <w:kinsoku/>
        <w:overflowPunct/>
        <w:topLinePunct w:val="0"/>
        <w:autoSpaceDE/>
        <w:autoSpaceDN/>
        <w:bidi w:val="0"/>
        <w:adjustRightInd/>
        <w:snapToGrid/>
        <w:spacing w:line="240" w:lineRule="auto"/>
        <w:ind w:right="-92" w:rightChars="-44" w:firstLine="640" w:firstLineChars="200"/>
        <w:textAlignment w:val="auto"/>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2.教务处（实训处）、组织人事部、学生工作部、保卫部、总务基建处和质量评估中心固定参与每次校领导带队督查。其他职能部门由当值带队督查校领导根据实际情况安排参与。</w:t>
      </w:r>
    </w:p>
    <w:p>
      <w:pPr>
        <w:keepNext w:val="0"/>
        <w:keepLines w:val="0"/>
        <w:pageBreakBefore w:val="0"/>
        <w:kinsoku/>
        <w:overflowPunct/>
        <w:topLinePunct w:val="0"/>
        <w:autoSpaceDE/>
        <w:autoSpaceDN/>
        <w:bidi w:val="0"/>
        <w:adjustRightInd/>
        <w:snapToGrid/>
        <w:spacing w:line="240" w:lineRule="auto"/>
        <w:ind w:left="-420" w:right="-733" w:rightChars="-349" w:firstLine="964" w:firstLineChars="300"/>
        <w:textAlignment w:val="auto"/>
        <w:rPr>
          <w:rFonts w:ascii="方正楷体_GB2312" w:hAnsi="方正楷体_GB2312" w:eastAsia="方正楷体_GB2312" w:cs="方正楷体_GB2312"/>
          <w:b/>
          <w:bCs/>
          <w:color w:val="auto"/>
          <w:kern w:val="0"/>
          <w:sz w:val="32"/>
          <w:szCs w:val="32"/>
          <w:lang w:bidi="ar"/>
        </w:rPr>
      </w:pPr>
      <w:r>
        <w:rPr>
          <w:rFonts w:hint="eastAsia" w:ascii="方正楷体_GB2312" w:hAnsi="方正楷体_GB2312" w:eastAsia="方正楷体_GB2312" w:cs="方正楷体_GB2312"/>
          <w:b/>
          <w:bCs/>
          <w:color w:val="auto"/>
          <w:kern w:val="0"/>
          <w:sz w:val="32"/>
          <w:szCs w:val="32"/>
          <w:lang w:bidi="ar"/>
        </w:rPr>
        <w:t>（二）院级督查</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hint="default" w:ascii="仿宋" w:hAnsi="仿宋" w:eastAsia="仿宋" w:cs="仿宋"/>
          <w:color w:val="auto"/>
          <w:sz w:val="32"/>
          <w:szCs w:val="32"/>
          <w:lang w:val="en-US" w:eastAsia="zh-CN" w:bidi="ar"/>
        </w:rPr>
      </w:pPr>
      <w:r>
        <w:rPr>
          <w:rFonts w:hint="eastAsia" w:ascii="仿宋" w:hAnsi="仿宋" w:eastAsia="仿宋" w:cs="仿宋"/>
          <w:color w:val="auto"/>
          <w:sz w:val="32"/>
          <w:szCs w:val="32"/>
          <w:lang w:bidi="ar"/>
        </w:rPr>
        <w:t>1.</w:t>
      </w:r>
      <w:r>
        <w:rPr>
          <w:rFonts w:ascii="仿宋" w:hAnsi="仿宋" w:eastAsia="仿宋" w:cs="仿宋"/>
          <w:color w:val="auto"/>
          <w:sz w:val="32"/>
          <w:szCs w:val="32"/>
          <w:lang w:bidi="ar"/>
        </w:rPr>
        <w:t>各</w:t>
      </w:r>
      <w:r>
        <w:rPr>
          <w:rFonts w:hint="eastAsia" w:ascii="仿宋" w:hAnsi="仿宋" w:eastAsia="仿宋" w:cs="仿宋"/>
          <w:color w:val="auto"/>
          <w:sz w:val="32"/>
          <w:szCs w:val="32"/>
          <w:lang w:bidi="ar"/>
        </w:rPr>
        <w:t>二级学</w:t>
      </w:r>
      <w:r>
        <w:rPr>
          <w:rFonts w:ascii="仿宋" w:hAnsi="仿宋" w:eastAsia="仿宋" w:cs="仿宋"/>
          <w:color w:val="auto"/>
          <w:sz w:val="32"/>
          <w:szCs w:val="32"/>
          <w:lang w:bidi="ar"/>
        </w:rPr>
        <w:t>院</w:t>
      </w:r>
      <w:r>
        <w:rPr>
          <w:rFonts w:hint="eastAsia" w:ascii="仿宋" w:hAnsi="仿宋" w:eastAsia="仿宋" w:cs="仿宋"/>
          <w:color w:val="auto"/>
          <w:sz w:val="32"/>
          <w:szCs w:val="32"/>
          <w:lang w:bidi="ar"/>
        </w:rPr>
        <w:t>（部）根据实际情况制订适合本院（部）的督查工作条例，</w:t>
      </w:r>
      <w:r>
        <w:rPr>
          <w:rFonts w:ascii="仿宋" w:hAnsi="仿宋" w:eastAsia="仿宋" w:cs="仿宋"/>
          <w:color w:val="auto"/>
          <w:sz w:val="32"/>
          <w:szCs w:val="32"/>
          <w:lang w:bidi="ar"/>
        </w:rPr>
        <w:t>统筹安排本</w:t>
      </w:r>
      <w:r>
        <w:rPr>
          <w:rFonts w:hint="eastAsia" w:ascii="仿宋" w:hAnsi="仿宋" w:eastAsia="仿宋" w:cs="仿宋"/>
          <w:color w:val="auto"/>
          <w:sz w:val="32"/>
          <w:szCs w:val="32"/>
          <w:lang w:bidi="ar"/>
        </w:rPr>
        <w:t>院（部）督查</w:t>
      </w:r>
      <w:r>
        <w:rPr>
          <w:rFonts w:ascii="仿宋" w:hAnsi="仿宋" w:eastAsia="仿宋" w:cs="仿宋"/>
          <w:color w:val="auto"/>
          <w:sz w:val="32"/>
          <w:szCs w:val="32"/>
          <w:lang w:bidi="ar"/>
        </w:rPr>
        <w:t>工作</w:t>
      </w:r>
      <w:r>
        <w:rPr>
          <w:rFonts w:hint="eastAsia" w:ascii="仿宋" w:hAnsi="仿宋" w:eastAsia="仿宋" w:cs="仿宋"/>
          <w:color w:val="auto"/>
          <w:sz w:val="32"/>
          <w:szCs w:val="32"/>
          <w:lang w:bidi="ar"/>
        </w:rPr>
        <w:t>。院（部）督查工作条例</w:t>
      </w:r>
      <w:r>
        <w:rPr>
          <w:rFonts w:hint="eastAsia" w:ascii="仿宋" w:hAnsi="仿宋" w:eastAsia="仿宋" w:cs="仿宋"/>
          <w:color w:val="auto"/>
          <w:sz w:val="32"/>
          <w:szCs w:val="32"/>
          <w:lang w:val="en-US" w:eastAsia="zh-CN" w:bidi="ar"/>
        </w:rPr>
        <w:t>报质量评估中心备案。</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仿宋" w:hAnsi="仿宋" w:eastAsia="仿宋" w:cs="仿宋"/>
          <w:color w:val="auto"/>
          <w:sz w:val="32"/>
          <w:szCs w:val="32"/>
          <w:lang w:bidi="ar"/>
        </w:rPr>
      </w:pPr>
      <w:r>
        <w:rPr>
          <w:rFonts w:hint="eastAsia" w:ascii="仿宋" w:hAnsi="仿宋" w:eastAsia="仿宋" w:cs="仿宋"/>
          <w:color w:val="auto"/>
          <w:sz w:val="32"/>
          <w:szCs w:val="32"/>
          <w:lang w:bidi="ar"/>
        </w:rPr>
        <w:t>2.院级督查组根据实际工作需要，对所在院（部）范围内的行政办公情况、教学运行情况、学生管理情况、教学相关活动</w:t>
      </w:r>
      <w:r>
        <w:rPr>
          <w:rFonts w:hint="eastAsia" w:ascii="仿宋" w:hAnsi="仿宋" w:eastAsia="仿宋" w:cs="仿宋"/>
          <w:color w:val="auto"/>
          <w:sz w:val="32"/>
          <w:szCs w:val="32"/>
          <w:lang w:val="en-US" w:eastAsia="zh-CN" w:bidi="ar"/>
        </w:rPr>
        <w:t>等</w:t>
      </w:r>
      <w:r>
        <w:rPr>
          <w:rFonts w:hint="eastAsia" w:ascii="仿宋" w:hAnsi="仿宋" w:eastAsia="仿宋" w:cs="仿宋"/>
          <w:color w:val="auto"/>
          <w:sz w:val="32"/>
          <w:szCs w:val="32"/>
          <w:lang w:bidi="ar"/>
        </w:rPr>
        <w:t>情况随机进行督查。</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textAlignment w:val="auto"/>
        <w:rPr>
          <w:rFonts w:ascii="Times New Roman" w:hAnsi="Times New Roman"/>
          <w:color w:val="auto"/>
          <w:sz w:val="21"/>
          <w:szCs w:val="21"/>
        </w:rPr>
      </w:pPr>
      <w:r>
        <w:rPr>
          <w:rFonts w:hint="eastAsia" w:ascii="黑体" w:hAnsi="宋体" w:eastAsia="黑体" w:cs="黑体"/>
          <w:color w:val="auto"/>
          <w:sz w:val="32"/>
          <w:szCs w:val="32"/>
        </w:rPr>
        <w:t>四、督查工作要求</w:t>
      </w:r>
    </w:p>
    <w:p>
      <w:pPr>
        <w:pStyle w:val="4"/>
        <w:keepNext w:val="0"/>
        <w:keepLines w:val="0"/>
        <w:pageBreakBefore w:val="0"/>
        <w:widowControl/>
        <w:kinsoku/>
        <w:wordWrap w:val="0"/>
        <w:overflowPunct/>
        <w:topLinePunct w:val="0"/>
        <w:autoSpaceDE/>
        <w:autoSpaceDN/>
        <w:bidi w:val="0"/>
        <w:adjustRightInd/>
        <w:snapToGrid/>
        <w:spacing w:before="150" w:beforeAutospacing="0" w:after="0" w:afterAutospacing="0" w:line="240" w:lineRule="auto"/>
        <w:ind w:firstLine="645"/>
        <w:jc w:val="both"/>
        <w:textAlignment w:val="auto"/>
        <w:rPr>
          <w:rFonts w:ascii="仿宋" w:hAnsi="仿宋" w:eastAsia="仿宋" w:cs="仿宋"/>
          <w:color w:val="auto"/>
          <w:sz w:val="32"/>
          <w:szCs w:val="32"/>
        </w:rPr>
      </w:pPr>
      <w:r>
        <w:rPr>
          <w:rFonts w:hint="eastAsia" w:ascii="仿宋" w:hAnsi="仿宋" w:eastAsia="仿宋" w:cs="仿宋"/>
          <w:color w:val="auto"/>
          <w:sz w:val="32"/>
          <w:szCs w:val="32"/>
        </w:rPr>
        <w:t>1.每学期校级督查表一经排定，原则上不予变动。督查人员要按计划开展督查工作。如遇特殊情况不能参加，当班带队校领导要提前请其他校领导代班，其他督查组成员须提前向当班校领导请假，并协调本部门其他负责同志代班，同时向质量评估中心报备。</w:t>
      </w:r>
    </w:p>
    <w:p>
      <w:pPr>
        <w:keepNext w:val="0"/>
        <w:keepLines w:val="0"/>
        <w:pageBreakBefore w:val="0"/>
        <w:kinsoku/>
        <w:overflowPunct/>
        <w:topLinePunct w:val="0"/>
        <w:autoSpaceDE/>
        <w:autoSpaceDN/>
        <w:bidi w:val="0"/>
        <w:adjustRightInd/>
        <w:snapToGrid/>
        <w:spacing w:line="240" w:lineRule="auto"/>
        <w:ind w:right="-92" w:rightChars="-44" w:firstLine="640" w:firstLineChars="200"/>
        <w:textAlignment w:val="auto"/>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2.质量评估中心会同党政办（宣传统战部）做好校领导及参与督查职能部门的联络，各参与部门在督查过程中根据本部门职责开展督查，填写《湖南艺术职业学院校领导带队督查情况登记表》（附件一）。</w:t>
      </w:r>
    </w:p>
    <w:p>
      <w:pPr>
        <w:keepNext w:val="0"/>
        <w:keepLines w:val="0"/>
        <w:pageBreakBefore w:val="0"/>
        <w:kinsoku/>
        <w:overflowPunct/>
        <w:topLinePunct w:val="0"/>
        <w:autoSpaceDE/>
        <w:autoSpaceDN/>
        <w:bidi w:val="0"/>
        <w:adjustRightInd/>
        <w:snapToGrid/>
        <w:spacing w:line="240" w:lineRule="auto"/>
        <w:ind w:right="-92" w:rightChars="-44" w:firstLine="640" w:firstLineChars="200"/>
        <w:textAlignment w:val="auto"/>
        <w:rPr>
          <w:rFonts w:ascii="仿宋" w:hAnsi="仿宋" w:eastAsia="仿宋" w:cs="仿宋"/>
          <w:color w:val="auto"/>
          <w:sz w:val="32"/>
          <w:szCs w:val="32"/>
        </w:rPr>
      </w:pPr>
      <w:r>
        <w:rPr>
          <w:rFonts w:hint="eastAsia" w:ascii="仿宋" w:hAnsi="仿宋" w:eastAsia="仿宋" w:cs="仿宋"/>
          <w:color w:val="auto"/>
          <w:kern w:val="0"/>
          <w:sz w:val="32"/>
          <w:szCs w:val="32"/>
          <w:lang w:bidi="ar"/>
        </w:rPr>
        <w:t>3.校级督查结束后三小时工作时间内，由各职能部门将《湖南艺术职业学院校领导带队督查情况登记表》（电子稿）反馈至质量评估中心。质量评估中心汇总报校领导审阅后，在适当范围进行通报，相关部门对通报的问题进行整改，</w:t>
      </w:r>
      <w:r>
        <w:rPr>
          <w:rFonts w:hint="eastAsia" w:ascii="仿宋" w:hAnsi="仿宋" w:eastAsia="仿宋" w:cs="仿宋"/>
          <w:color w:val="auto"/>
          <w:sz w:val="32"/>
          <w:szCs w:val="32"/>
        </w:rPr>
        <w:t>填写《湖南艺术职业学院校领导带队督查整改反馈表》（附件二），并将纸质稿、电子稿交质量评估中心。</w:t>
      </w:r>
    </w:p>
    <w:p>
      <w:pPr>
        <w:keepNext w:val="0"/>
        <w:keepLines w:val="0"/>
        <w:pageBreakBefore w:val="0"/>
        <w:kinsoku/>
        <w:overflowPunct/>
        <w:topLinePunct w:val="0"/>
        <w:autoSpaceDE/>
        <w:autoSpaceDN/>
        <w:bidi w:val="0"/>
        <w:adjustRightInd/>
        <w:snapToGrid/>
        <w:spacing w:line="240" w:lineRule="auto"/>
        <w:ind w:right="-92" w:rightChars="-44" w:firstLine="640" w:firstLineChars="200"/>
        <w:textAlignment w:val="auto"/>
        <w:rPr>
          <w:rFonts w:hint="eastAsia"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4.院级督查组将督查的相关情况及时记录，发现问题及时整改</w:t>
      </w:r>
      <w:r>
        <w:rPr>
          <w:rFonts w:hint="eastAsia" w:ascii="仿宋" w:hAnsi="仿宋" w:eastAsia="仿宋" w:cs="仿宋"/>
          <w:color w:val="auto"/>
          <w:kern w:val="0"/>
          <w:sz w:val="32"/>
          <w:szCs w:val="32"/>
          <w:lang w:eastAsia="zh-CN" w:bidi="ar"/>
        </w:rPr>
        <w:t>。</w:t>
      </w:r>
      <w:r>
        <w:rPr>
          <w:rFonts w:hint="eastAsia" w:ascii="仿宋" w:hAnsi="仿宋" w:eastAsia="仿宋" w:cs="仿宋"/>
          <w:color w:val="auto"/>
          <w:kern w:val="0"/>
          <w:sz w:val="32"/>
          <w:szCs w:val="32"/>
          <w:lang w:bidi="ar"/>
        </w:rPr>
        <w:t>牵涉到需职能部门配合的问题</w:t>
      </w:r>
      <w:r>
        <w:rPr>
          <w:rFonts w:ascii="仿宋" w:hAnsi="仿宋" w:eastAsia="仿宋" w:cs="仿宋"/>
          <w:color w:val="auto"/>
          <w:kern w:val="0"/>
          <w:sz w:val="32"/>
          <w:szCs w:val="32"/>
          <w:lang w:bidi="ar"/>
        </w:rPr>
        <w:t>，</w:t>
      </w:r>
      <w:r>
        <w:rPr>
          <w:rFonts w:hint="eastAsia" w:ascii="仿宋" w:hAnsi="仿宋" w:eastAsia="仿宋" w:cs="仿宋"/>
          <w:color w:val="auto"/>
          <w:kern w:val="0"/>
          <w:sz w:val="32"/>
          <w:szCs w:val="32"/>
          <w:lang w:bidi="ar"/>
        </w:rPr>
        <w:t>及时反馈到相关部门处理。督查及整改情况由各院（部）记录存档备查。</w:t>
      </w:r>
    </w:p>
    <w:p>
      <w:pPr>
        <w:keepNext w:val="0"/>
        <w:keepLines w:val="0"/>
        <w:pageBreakBefore w:val="0"/>
        <w:kinsoku/>
        <w:overflowPunct/>
        <w:topLinePunct w:val="0"/>
        <w:autoSpaceDE/>
        <w:autoSpaceDN/>
        <w:bidi w:val="0"/>
        <w:adjustRightInd/>
        <w:snapToGrid/>
        <w:spacing w:line="240" w:lineRule="auto"/>
        <w:ind w:left="1598" w:leftChars="304" w:right="-92" w:rightChars="-44" w:hanging="960" w:hangingChars="300"/>
        <w:textAlignment w:val="auto"/>
        <w:rPr>
          <w:rFonts w:hint="eastAsia" w:ascii="仿宋" w:hAnsi="仿宋" w:eastAsia="仿宋" w:cs="仿宋"/>
          <w:color w:val="auto"/>
          <w:kern w:val="0"/>
          <w:sz w:val="32"/>
          <w:szCs w:val="32"/>
          <w:lang w:bidi="ar"/>
        </w:rPr>
      </w:pPr>
    </w:p>
    <w:p>
      <w:pPr>
        <w:keepNext w:val="0"/>
        <w:keepLines w:val="0"/>
        <w:pageBreakBefore w:val="0"/>
        <w:kinsoku/>
        <w:overflowPunct/>
        <w:topLinePunct w:val="0"/>
        <w:autoSpaceDE/>
        <w:autoSpaceDN/>
        <w:bidi w:val="0"/>
        <w:adjustRightInd/>
        <w:snapToGrid/>
        <w:spacing w:line="240" w:lineRule="auto"/>
        <w:ind w:left="1598" w:leftChars="304" w:right="-92" w:rightChars="-44" w:hanging="960" w:hangingChars="300"/>
        <w:textAlignment w:val="auto"/>
        <w:rPr>
          <w:rFonts w:ascii="仿宋" w:hAnsi="仿宋" w:eastAsia="仿宋" w:cs="仿宋"/>
          <w:color w:val="auto"/>
          <w:w w:val="95"/>
          <w:kern w:val="0"/>
          <w:sz w:val="32"/>
          <w:szCs w:val="32"/>
          <w:lang w:bidi="ar"/>
        </w:rPr>
      </w:pPr>
      <w:r>
        <w:rPr>
          <w:rFonts w:hint="eastAsia" w:ascii="仿宋" w:hAnsi="仿宋" w:eastAsia="仿宋" w:cs="仿宋"/>
          <w:color w:val="auto"/>
          <w:kern w:val="0"/>
          <w:sz w:val="32"/>
          <w:szCs w:val="32"/>
          <w:lang w:bidi="ar"/>
        </w:rPr>
        <w:t xml:space="preserve">附件： </w:t>
      </w:r>
      <w:r>
        <w:rPr>
          <w:rFonts w:hint="eastAsia" w:ascii="仿宋" w:hAnsi="仿宋" w:eastAsia="仿宋" w:cs="仿宋"/>
          <w:color w:val="auto"/>
          <w:w w:val="95"/>
          <w:kern w:val="0"/>
          <w:sz w:val="32"/>
          <w:szCs w:val="32"/>
          <w:lang w:bidi="ar"/>
        </w:rPr>
        <w:t>1.《湖南艺术职业学院校领导带队督查情况登记表》</w:t>
      </w:r>
    </w:p>
    <w:p>
      <w:pPr>
        <w:keepNext w:val="0"/>
        <w:keepLines w:val="0"/>
        <w:pageBreakBefore w:val="0"/>
        <w:kinsoku/>
        <w:overflowPunct/>
        <w:topLinePunct w:val="0"/>
        <w:autoSpaceDE/>
        <w:autoSpaceDN/>
        <w:bidi w:val="0"/>
        <w:adjustRightInd/>
        <w:snapToGrid/>
        <w:spacing w:line="240" w:lineRule="auto"/>
        <w:ind w:right="-92" w:rightChars="-44" w:firstLine="1678" w:firstLineChars="552"/>
        <w:textAlignment w:val="auto"/>
        <w:rPr>
          <w:rFonts w:ascii="仿宋" w:hAnsi="仿宋" w:eastAsia="仿宋" w:cs="仿宋"/>
          <w:color w:val="auto"/>
          <w:w w:val="95"/>
          <w:kern w:val="0"/>
          <w:sz w:val="32"/>
          <w:szCs w:val="32"/>
          <w:lang w:bidi="ar"/>
        </w:rPr>
      </w:pPr>
      <w:r>
        <w:rPr>
          <w:rFonts w:hint="eastAsia" w:ascii="仿宋" w:hAnsi="仿宋" w:eastAsia="仿宋" w:cs="仿宋"/>
          <w:color w:val="auto"/>
          <w:w w:val="95"/>
          <w:sz w:val="32"/>
          <w:szCs w:val="32"/>
        </w:rPr>
        <w:t>2.《湖南艺术职业学院校领导带队督查整改反馈表》</w:t>
      </w:r>
    </w:p>
    <w:p>
      <w:pPr>
        <w:keepNext w:val="0"/>
        <w:keepLines w:val="0"/>
        <w:pageBreakBefore w:val="0"/>
        <w:kinsoku/>
        <w:overflowPunct/>
        <w:topLinePunct w:val="0"/>
        <w:autoSpaceDE/>
        <w:autoSpaceDN/>
        <w:bidi w:val="0"/>
        <w:adjustRightInd/>
        <w:snapToGrid/>
        <w:spacing w:line="240" w:lineRule="auto"/>
        <w:ind w:right="-92" w:rightChars="-44" w:firstLine="640" w:firstLineChars="200"/>
        <w:textAlignment w:val="auto"/>
        <w:rPr>
          <w:rFonts w:ascii="仿宋" w:hAnsi="仿宋" w:eastAsia="仿宋" w:cs="仿宋"/>
          <w:color w:val="auto"/>
          <w:kern w:val="0"/>
          <w:sz w:val="32"/>
          <w:szCs w:val="32"/>
          <w:lang w:bidi="ar"/>
        </w:rPr>
      </w:pPr>
    </w:p>
    <w:p>
      <w:pPr>
        <w:keepNext w:val="0"/>
        <w:keepLines w:val="0"/>
        <w:pageBreakBefore w:val="0"/>
        <w:kinsoku/>
        <w:overflowPunct/>
        <w:topLinePunct w:val="0"/>
        <w:autoSpaceDE/>
        <w:autoSpaceDN/>
        <w:bidi w:val="0"/>
        <w:adjustRightInd/>
        <w:snapToGrid/>
        <w:spacing w:line="240" w:lineRule="auto"/>
        <w:ind w:right="-92" w:rightChars="-44" w:firstLine="5120" w:firstLineChars="1600"/>
        <w:textAlignment w:val="auto"/>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湖南艺术职业学院</w:t>
      </w:r>
    </w:p>
    <w:p>
      <w:pPr>
        <w:keepNext w:val="0"/>
        <w:keepLines w:val="0"/>
        <w:pageBreakBefore w:val="0"/>
        <w:kinsoku/>
        <w:overflowPunct/>
        <w:topLinePunct w:val="0"/>
        <w:autoSpaceDE/>
        <w:autoSpaceDN/>
        <w:bidi w:val="0"/>
        <w:adjustRightInd/>
        <w:snapToGrid/>
        <w:spacing w:line="240" w:lineRule="auto"/>
        <w:ind w:right="-92" w:rightChars="-44" w:firstLine="5120" w:firstLineChars="1600"/>
        <w:textAlignment w:val="auto"/>
        <w:rPr>
          <w:rFonts w:ascii="仿宋" w:hAnsi="仿宋" w:eastAsia="仿宋" w:cs="仿宋"/>
          <w:color w:val="auto"/>
          <w:kern w:val="0"/>
          <w:sz w:val="32"/>
          <w:szCs w:val="32"/>
          <w:lang w:bidi="ar"/>
        </w:rPr>
      </w:pPr>
      <w:r>
        <w:rPr>
          <w:rFonts w:hint="eastAsia" w:ascii="仿宋" w:hAnsi="仿宋" w:eastAsia="仿宋" w:cs="仿宋"/>
          <w:color w:val="auto"/>
          <w:kern w:val="0"/>
          <w:sz w:val="32"/>
          <w:szCs w:val="32"/>
          <w:lang w:bidi="ar"/>
        </w:rPr>
        <w:t>2023年10月1</w:t>
      </w:r>
      <w:r>
        <w:rPr>
          <w:rFonts w:hint="eastAsia" w:ascii="仿宋" w:hAnsi="仿宋" w:eastAsia="仿宋" w:cs="仿宋"/>
          <w:color w:val="auto"/>
          <w:kern w:val="0"/>
          <w:sz w:val="32"/>
          <w:szCs w:val="32"/>
          <w:lang w:val="en-US" w:eastAsia="zh-CN" w:bidi="ar"/>
        </w:rPr>
        <w:t>7</w:t>
      </w:r>
      <w:r>
        <w:rPr>
          <w:rFonts w:hint="eastAsia" w:ascii="仿宋" w:hAnsi="仿宋" w:eastAsia="仿宋" w:cs="仿宋"/>
          <w:color w:val="auto"/>
          <w:kern w:val="0"/>
          <w:sz w:val="32"/>
          <w:szCs w:val="32"/>
          <w:lang w:bidi="ar"/>
        </w:rPr>
        <w:t>日</w:t>
      </w:r>
    </w:p>
    <w:p>
      <w:pPr>
        <w:spacing w:line="600" w:lineRule="exact"/>
        <w:ind w:right="-92" w:rightChars="-44" w:firstLine="5120" w:firstLineChars="1600"/>
        <w:rPr>
          <w:rFonts w:ascii="仿宋" w:hAnsi="仿宋" w:eastAsia="仿宋" w:cs="仿宋"/>
          <w:color w:val="444444"/>
          <w:kern w:val="0"/>
          <w:sz w:val="32"/>
          <w:szCs w:val="32"/>
          <w:lang w:bidi="ar"/>
        </w:rPr>
      </w:pPr>
    </w:p>
    <w:p>
      <w:pPr>
        <w:spacing w:line="600" w:lineRule="exact"/>
        <w:ind w:right="-92" w:rightChars="-44" w:firstLine="5120" w:firstLineChars="1600"/>
        <w:rPr>
          <w:rFonts w:ascii="仿宋" w:hAnsi="仿宋" w:eastAsia="仿宋" w:cs="仿宋"/>
          <w:color w:val="444444"/>
          <w:kern w:val="0"/>
          <w:sz w:val="32"/>
          <w:szCs w:val="32"/>
          <w:lang w:bidi="ar"/>
        </w:rPr>
      </w:pPr>
    </w:p>
    <w:p>
      <w:pPr>
        <w:pStyle w:val="4"/>
        <w:widowControl/>
        <w:shd w:val="clear" w:color="auto" w:fill="FFFFFF"/>
        <w:wordWrap w:val="0"/>
        <w:spacing w:before="0" w:beforeAutospacing="0" w:after="0" w:afterAutospacing="0" w:line="440" w:lineRule="atLeast"/>
        <w:rPr>
          <w:rFonts w:hint="eastAsia" w:ascii="黑体" w:hAnsi="黑体" w:eastAsia="黑体" w:cs="黑体"/>
          <w:b/>
          <w:bCs/>
          <w:color w:val="1B1B1B"/>
          <w:sz w:val="32"/>
          <w:szCs w:val="32"/>
          <w:shd w:val="clear" w:color="auto" w:fill="FFFFFF"/>
        </w:rPr>
      </w:pPr>
    </w:p>
    <w:p>
      <w:pPr>
        <w:pStyle w:val="4"/>
        <w:widowControl/>
        <w:shd w:val="clear" w:color="auto" w:fill="FFFFFF"/>
        <w:wordWrap w:val="0"/>
        <w:spacing w:before="0" w:beforeAutospacing="0" w:after="0" w:afterAutospacing="0" w:line="440" w:lineRule="atLeast"/>
        <w:ind w:left="-619" w:leftChars="-295" w:firstLine="0" w:firstLineChars="0"/>
        <w:rPr>
          <w:rFonts w:hint="eastAsia" w:ascii="黑体" w:hAnsi="黑体" w:eastAsia="黑体" w:cs="黑体"/>
          <w:b/>
          <w:bCs/>
          <w:color w:val="1B1B1B"/>
          <w:sz w:val="32"/>
          <w:szCs w:val="32"/>
          <w:shd w:val="clear" w:color="auto" w:fill="FFFFFF"/>
        </w:rPr>
      </w:pPr>
      <w:r>
        <w:rPr>
          <w:rFonts w:hint="eastAsia" w:ascii="黑体" w:hAnsi="黑体" w:eastAsia="黑体" w:cs="黑体"/>
          <w:b/>
          <w:bCs/>
          <w:color w:val="1B1B1B"/>
          <w:sz w:val="32"/>
          <w:szCs w:val="32"/>
          <w:shd w:val="clear" w:color="auto" w:fill="FFFFFF"/>
        </w:rPr>
        <w:t>附件1</w:t>
      </w:r>
    </w:p>
    <w:p>
      <w:pPr>
        <w:pStyle w:val="4"/>
        <w:widowControl/>
        <w:shd w:val="clear" w:color="auto" w:fill="FFFFFF"/>
        <w:wordWrap w:val="0"/>
        <w:spacing w:before="0" w:beforeAutospacing="0" w:after="0" w:afterAutospacing="0" w:line="440" w:lineRule="atLeast"/>
        <w:ind w:left="-619" w:leftChars="-295" w:firstLine="0" w:firstLineChars="0"/>
        <w:rPr>
          <w:rFonts w:hint="eastAsia" w:ascii="黑体" w:hAnsi="黑体" w:eastAsia="黑体" w:cs="黑体"/>
          <w:b/>
          <w:bCs/>
          <w:color w:val="1B1B1B"/>
          <w:sz w:val="32"/>
          <w:szCs w:val="32"/>
          <w:shd w:val="clear" w:color="auto" w:fill="FFFFFF"/>
        </w:rPr>
      </w:pPr>
    </w:p>
    <w:p>
      <w:pPr>
        <w:pStyle w:val="4"/>
        <w:widowControl/>
        <w:shd w:val="clear" w:color="auto" w:fill="FFFFFF"/>
        <w:wordWrap w:val="0"/>
        <w:spacing w:before="0" w:beforeAutospacing="0" w:after="0" w:afterAutospacing="0" w:line="440" w:lineRule="atLeast"/>
        <w:ind w:firstLine="361" w:firstLineChars="100"/>
        <w:rPr>
          <w:rFonts w:ascii="Times New Roman" w:hAnsi="Times New Roman"/>
          <w:color w:val="1B1B1B"/>
          <w:sz w:val="21"/>
          <w:szCs w:val="21"/>
        </w:rPr>
      </w:pPr>
      <w:r>
        <w:rPr>
          <w:rFonts w:hint="eastAsia" w:ascii="方正小标宋简体" w:hAnsi="方正小标宋简体" w:eastAsia="方正小标宋简体" w:cs="方正小标宋简体"/>
          <w:b/>
          <w:bCs/>
          <w:color w:val="1B1B1B"/>
          <w:sz w:val="36"/>
          <w:szCs w:val="36"/>
          <w:shd w:val="clear" w:color="auto" w:fill="FFFFFF"/>
        </w:rPr>
        <w:t>湖南艺术职业学院校领导带队督查情况登记表</w:t>
      </w:r>
      <w:r>
        <w:rPr>
          <w:rFonts w:hint="eastAsia" w:ascii="方正小标宋简体" w:hAnsi="方正小标宋简体" w:eastAsia="方正小标宋简体" w:cs="方正小标宋简体"/>
          <w:b/>
          <w:bCs/>
          <w:color w:val="1B1B1B"/>
          <w:sz w:val="32"/>
          <w:szCs w:val="32"/>
          <w:shd w:val="clear" w:color="auto" w:fill="FFFFFF"/>
        </w:rPr>
        <w:t> </w:t>
      </w:r>
    </w:p>
    <w:tbl>
      <w:tblPr>
        <w:tblStyle w:val="5"/>
        <w:tblW w:w="972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19"/>
        <w:gridCol w:w="950"/>
        <w:gridCol w:w="1305"/>
        <w:gridCol w:w="695"/>
        <w:gridCol w:w="1357"/>
        <w:gridCol w:w="695"/>
        <w:gridCol w:w="3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督查时间</w:t>
            </w:r>
          </w:p>
        </w:tc>
        <w:tc>
          <w:tcPr>
            <w:tcW w:w="8608" w:type="dxa"/>
            <w:gridSpan w:val="6"/>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hd w:val="clear" w:color="auto" w:fill="FFFFFF"/>
              <w:tabs>
                <w:tab w:val="left" w:pos="499"/>
              </w:tabs>
              <w:wordWrap w:val="0"/>
              <w:spacing w:before="120" w:beforeAutospacing="0" w:after="0" w:afterAutospacing="0" w:line="210" w:lineRule="atLeast"/>
              <w:ind w:firstLine="210" w:firstLineChars="100"/>
              <w:jc w:val="both"/>
              <w:rPr>
                <w:rFonts w:ascii="宋体" w:hAnsi="宋体" w:eastAsia="宋体" w:cs="宋体"/>
                <w:sz w:val="21"/>
                <w:szCs w:val="21"/>
              </w:rPr>
            </w:pPr>
            <w:r>
              <w:rPr>
                <w:rFonts w:ascii="宋体" w:hAnsi="宋体" w:eastAsia="宋体" w:cs="宋体"/>
                <w:sz w:val="21"/>
                <w:szCs w:val="21"/>
              </w:rPr>
              <w:t>  </w:t>
            </w:r>
            <w:r>
              <w:rPr>
                <w:rFonts w:hint="eastAsia" w:ascii="宋体" w:hAnsi="宋体" w:eastAsia="宋体" w:cs="宋体"/>
                <w:sz w:val="21"/>
                <w:szCs w:val="21"/>
              </w:rPr>
              <w:t xml:space="preserve">  年    月</w:t>
            </w:r>
            <w:r>
              <w:rPr>
                <w:rFonts w:ascii="宋体" w:hAnsi="宋体" w:eastAsia="宋体" w:cs="宋体"/>
                <w:sz w:val="21"/>
                <w:szCs w:val="21"/>
              </w:rPr>
              <w:t>  </w:t>
            </w:r>
            <w:r>
              <w:rPr>
                <w:rFonts w:hint="eastAsia" w:ascii="宋体" w:hAnsi="宋体" w:eastAsia="宋体" w:cs="宋体"/>
                <w:sz w:val="21"/>
                <w:szCs w:val="21"/>
              </w:rPr>
              <w:t>日      星期</w:t>
            </w:r>
            <w:r>
              <w:rPr>
                <w:rFonts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06"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督查组</w:t>
            </w:r>
          </w:p>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成员</w:t>
            </w:r>
          </w:p>
        </w:tc>
        <w:tc>
          <w:tcPr>
            <w:tcW w:w="9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校领导</w:t>
            </w:r>
          </w:p>
        </w:tc>
        <w:tc>
          <w:tcPr>
            <w:tcW w:w="13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参与部门</w:t>
            </w:r>
          </w:p>
        </w:tc>
        <w:tc>
          <w:tcPr>
            <w:tcW w:w="135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参与人员</w:t>
            </w:r>
          </w:p>
        </w:tc>
        <w:tc>
          <w:tcPr>
            <w:tcW w:w="3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restart"/>
            <w:tcBorders>
              <w:top w:val="single" w:color="auto" w:sz="8" w:space="0"/>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r>
              <w:rPr>
                <w:rFonts w:hint="eastAsia" w:ascii="Times New Roman" w:hAnsi="Times New Roman"/>
                <w:sz w:val="21"/>
                <w:szCs w:val="21"/>
              </w:rPr>
              <w:t>督查情况</w:t>
            </w: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时间</w:t>
            </w: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地点</w:t>
            </w: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Times New Roman" w:hAnsi="Times New Roman"/>
                <w:sz w:val="21"/>
                <w:szCs w:val="21"/>
              </w:rPr>
              <w:t>主要情况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56" w:hRule="exact"/>
          <w:jc w:val="center"/>
        </w:trPr>
        <w:tc>
          <w:tcPr>
            <w:tcW w:w="1119"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130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6353"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3"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r>
              <w:rPr>
                <w:rFonts w:hint="eastAsia" w:ascii="Times New Roman" w:hAnsi="Times New Roman"/>
                <w:sz w:val="21"/>
                <w:szCs w:val="21"/>
              </w:rPr>
              <w:t>备注</w:t>
            </w:r>
          </w:p>
        </w:tc>
        <w:tc>
          <w:tcPr>
            <w:tcW w:w="8608" w:type="dxa"/>
            <w:gridSpan w:val="6"/>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bl>
    <w:p>
      <w:pPr>
        <w:ind w:left="-619" w:leftChars="-295" w:right="-733" w:rightChars="-349"/>
      </w:pPr>
      <w:r>
        <w:rPr>
          <w:rFonts w:hint="eastAsia"/>
        </w:rPr>
        <w:t>注：</w:t>
      </w:r>
    </w:p>
    <w:p>
      <w:pPr>
        <w:ind w:left="-619" w:leftChars="-295" w:right="-733" w:rightChars="-349"/>
        <w:rPr>
          <w:color w:val="auto"/>
        </w:rPr>
      </w:pPr>
      <w:r>
        <w:rPr>
          <w:rFonts w:hint="eastAsia"/>
        </w:rPr>
        <w:t>1.本表格由参与督查的部门填写督查过程中发现的归属本部门主管的情况，并于督查结束后三小时工作时间内，以电子稿形式交质量评估</w:t>
      </w:r>
      <w:r>
        <w:rPr>
          <w:rFonts w:hint="eastAsia"/>
          <w:color w:val="auto"/>
        </w:rPr>
        <w:t>中心，纸质稿由本部门留存备查。</w:t>
      </w:r>
    </w:p>
    <w:p>
      <w:pPr>
        <w:ind w:left="-619" w:leftChars="-295" w:right="-733" w:rightChars="-349"/>
        <w:rPr>
          <w:rFonts w:hint="eastAsia" w:ascii="黑体" w:hAnsi="黑体" w:eastAsia="黑体" w:cs="黑体"/>
          <w:b/>
          <w:bCs/>
          <w:color w:val="1B1B1B"/>
          <w:sz w:val="32"/>
          <w:szCs w:val="32"/>
          <w:shd w:val="clear" w:color="auto" w:fill="FFFFFF"/>
        </w:rPr>
      </w:pPr>
      <w:r>
        <w:rPr>
          <w:rFonts w:hint="eastAsia"/>
          <w:color w:val="auto"/>
        </w:rPr>
        <w:t>2.此表中“督查情况”一栏可据实增减行，“主要情况”栏中</w:t>
      </w:r>
      <w:r>
        <w:rPr>
          <w:rFonts w:hint="eastAsia"/>
        </w:rPr>
        <w:t>填写发现的问题或核查到的情况及有关建议。</w:t>
      </w:r>
      <w:r>
        <w:rPr>
          <w:rFonts w:hint="eastAsia" w:ascii="黑体" w:hAnsi="黑体" w:eastAsia="黑体" w:cs="黑体"/>
          <w:b/>
          <w:bCs/>
          <w:color w:val="1B1B1B"/>
          <w:sz w:val="32"/>
          <w:szCs w:val="32"/>
          <w:shd w:val="clear" w:color="auto" w:fill="FFFFFF"/>
        </w:rPr>
        <w:t>附件2</w:t>
      </w:r>
    </w:p>
    <w:p>
      <w:pPr>
        <w:ind w:left="-619" w:leftChars="-295" w:right="-733" w:rightChars="-349"/>
        <w:rPr>
          <w:rFonts w:hint="eastAsia" w:ascii="黑体" w:hAnsi="黑体" w:eastAsia="黑体" w:cs="黑体"/>
          <w:b/>
          <w:bCs/>
          <w:color w:val="1B1B1B"/>
          <w:sz w:val="32"/>
          <w:szCs w:val="32"/>
          <w:shd w:val="clear" w:color="auto" w:fill="FFFFFF"/>
        </w:rPr>
      </w:pPr>
    </w:p>
    <w:p>
      <w:pPr>
        <w:pStyle w:val="4"/>
        <w:widowControl/>
        <w:shd w:val="clear" w:color="auto" w:fill="FFFFFF"/>
        <w:wordWrap w:val="0"/>
        <w:spacing w:before="0" w:beforeAutospacing="0" w:after="0" w:afterAutospacing="0" w:line="440" w:lineRule="atLeast"/>
        <w:ind w:firstLine="361" w:firstLineChars="100"/>
        <w:rPr>
          <w:rFonts w:ascii="方正小标宋简体" w:hAnsi="方正小标宋简体" w:eastAsia="方正小标宋简体" w:cs="方正小标宋简体"/>
          <w:b/>
          <w:bCs/>
          <w:color w:val="1B1B1B"/>
          <w:sz w:val="32"/>
          <w:szCs w:val="32"/>
          <w:shd w:val="clear" w:color="auto" w:fill="FFFFFF"/>
        </w:rPr>
      </w:pPr>
      <w:r>
        <w:rPr>
          <w:rFonts w:hint="eastAsia" w:ascii="方正小标宋简体" w:hAnsi="方正小标宋简体" w:eastAsia="方正小标宋简体" w:cs="方正小标宋简体"/>
          <w:b/>
          <w:bCs/>
          <w:color w:val="1B1B1B"/>
          <w:sz w:val="36"/>
          <w:szCs w:val="36"/>
          <w:shd w:val="clear" w:color="auto" w:fill="FFFFFF"/>
        </w:rPr>
        <w:t>湖南艺术职业学院校领导带队督查整改反馈表</w:t>
      </w:r>
      <w:r>
        <w:rPr>
          <w:rFonts w:hint="eastAsia" w:ascii="方正小标宋简体" w:hAnsi="方正小标宋简体" w:eastAsia="方正小标宋简体" w:cs="方正小标宋简体"/>
          <w:b/>
          <w:bCs/>
          <w:color w:val="1B1B1B"/>
          <w:sz w:val="32"/>
          <w:szCs w:val="32"/>
          <w:shd w:val="clear" w:color="auto" w:fill="FFFFFF"/>
        </w:rPr>
        <w:t> </w:t>
      </w:r>
    </w:p>
    <w:tbl>
      <w:tblPr>
        <w:tblStyle w:val="5"/>
        <w:tblW w:w="972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19"/>
        <w:gridCol w:w="950"/>
        <w:gridCol w:w="3354"/>
        <w:gridCol w:w="2152"/>
        <w:gridCol w:w="21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督查时间</w:t>
            </w:r>
          </w:p>
        </w:tc>
        <w:tc>
          <w:tcPr>
            <w:tcW w:w="8608"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hd w:val="clear" w:color="auto" w:fill="FFFFFF"/>
              <w:tabs>
                <w:tab w:val="left" w:pos="499"/>
              </w:tabs>
              <w:wordWrap w:val="0"/>
              <w:spacing w:before="120" w:beforeAutospacing="0" w:after="0" w:afterAutospacing="0" w:line="210" w:lineRule="atLeast"/>
              <w:ind w:firstLine="210" w:firstLineChars="10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反馈时间</w:t>
            </w:r>
          </w:p>
        </w:tc>
        <w:tc>
          <w:tcPr>
            <w:tcW w:w="8608"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hd w:val="clear" w:color="auto" w:fill="FFFFFF"/>
              <w:tabs>
                <w:tab w:val="left" w:pos="499"/>
              </w:tabs>
              <w:wordWrap w:val="0"/>
              <w:spacing w:before="120" w:beforeAutospacing="0" w:after="0" w:afterAutospacing="0" w:line="210" w:lineRule="atLeast"/>
              <w:ind w:firstLine="210" w:firstLineChars="100"/>
              <w:jc w:val="both"/>
              <w:rPr>
                <w:rFonts w:ascii="宋体" w:hAnsi="宋体" w:eastAsia="宋体" w:cs="宋体"/>
                <w:sz w:val="21"/>
                <w:szCs w:val="21"/>
              </w:rPr>
            </w:pPr>
            <w:r>
              <w:rPr>
                <w:rFonts w:ascii="宋体" w:hAnsi="宋体" w:eastAsia="宋体" w:cs="宋体"/>
                <w:sz w:val="21"/>
                <w:szCs w:val="21"/>
              </w:rPr>
              <w:t>  </w:t>
            </w:r>
            <w:r>
              <w:rPr>
                <w:rFonts w:hint="eastAsia" w:ascii="宋体" w:hAnsi="宋体" w:eastAsia="宋体" w:cs="宋体"/>
                <w:sz w:val="21"/>
                <w:szCs w:val="21"/>
              </w:rPr>
              <w:t xml:space="preserve">  年    月</w:t>
            </w:r>
            <w:r>
              <w:rPr>
                <w:rFonts w:ascii="宋体" w:hAnsi="宋体" w:eastAsia="宋体" w:cs="宋体"/>
                <w:sz w:val="21"/>
                <w:szCs w:val="21"/>
              </w:rPr>
              <w:t>  </w:t>
            </w:r>
            <w:r>
              <w:rPr>
                <w:rFonts w:hint="eastAsia" w:ascii="宋体" w:hAnsi="宋体" w:eastAsia="宋体" w:cs="宋体"/>
                <w:sz w:val="21"/>
                <w:szCs w:val="21"/>
              </w:rPr>
              <w:t>日      星期</w:t>
            </w:r>
            <w:r>
              <w:rPr>
                <w:rFonts w:ascii="宋体" w:hAnsi="宋体" w:eastAsia="宋体" w:cs="宋体"/>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1"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宋体" w:hAnsi="宋体" w:eastAsia="宋体" w:cs="宋体"/>
                <w:sz w:val="21"/>
                <w:szCs w:val="21"/>
              </w:rPr>
              <w:t>反馈部门</w:t>
            </w:r>
          </w:p>
        </w:tc>
        <w:tc>
          <w:tcPr>
            <w:tcW w:w="430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 xml:space="preserve">                           公章      </w:t>
            </w:r>
          </w:p>
        </w:tc>
        <w:tc>
          <w:tcPr>
            <w:tcW w:w="21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填报员</w:t>
            </w:r>
          </w:p>
        </w:tc>
        <w:tc>
          <w:tcPr>
            <w:tcW w:w="21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restart"/>
            <w:tcBorders>
              <w:top w:val="single" w:color="auto" w:sz="8" w:space="0"/>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r>
              <w:rPr>
                <w:rFonts w:hint="eastAsia" w:ascii="Times New Roman" w:hAnsi="Times New Roman"/>
                <w:sz w:val="21"/>
                <w:szCs w:val="21"/>
              </w:rPr>
              <w:t>整改情况</w:t>
            </w: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jc w:val="center"/>
              <w:rPr>
                <w:rFonts w:ascii="宋体" w:hAnsi="宋体" w:eastAsia="宋体" w:cs="宋体"/>
                <w:sz w:val="21"/>
                <w:szCs w:val="21"/>
              </w:rPr>
            </w:pPr>
            <w:r>
              <w:rPr>
                <w:rFonts w:hint="eastAsia" w:ascii="宋体" w:hAnsi="宋体" w:eastAsia="宋体" w:cs="宋体"/>
                <w:sz w:val="21"/>
                <w:szCs w:val="21"/>
              </w:rPr>
              <w:t>序号</w:t>
            </w: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宋体" w:hAnsi="宋体" w:eastAsia="宋体" w:cs="宋体"/>
                <w:sz w:val="21"/>
                <w:szCs w:val="21"/>
              </w:rPr>
            </w:pPr>
            <w:r>
              <w:rPr>
                <w:rFonts w:hint="eastAsia" w:ascii="Times New Roman" w:hAnsi="Times New Roman"/>
                <w:sz w:val="21"/>
                <w:szCs w:val="21"/>
              </w:rPr>
              <w:t>整改内容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exact"/>
          <w:jc w:val="center"/>
        </w:trPr>
        <w:tc>
          <w:tcPr>
            <w:tcW w:w="1119"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p>
        </w:tc>
        <w:tc>
          <w:tcPr>
            <w:tcW w:w="9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c>
          <w:tcPr>
            <w:tcW w:w="76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9" w:hRule="atLeast"/>
          <w:jc w:val="center"/>
        </w:trPr>
        <w:tc>
          <w:tcPr>
            <w:tcW w:w="111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wordWrap w:val="0"/>
              <w:spacing w:before="0" w:beforeAutospacing="0" w:after="0" w:afterAutospacing="0" w:line="240" w:lineRule="atLeast"/>
              <w:jc w:val="center"/>
              <w:rPr>
                <w:rFonts w:ascii="Times New Roman" w:hAnsi="Times New Roman"/>
                <w:sz w:val="21"/>
                <w:szCs w:val="21"/>
              </w:rPr>
            </w:pPr>
            <w:r>
              <w:rPr>
                <w:rFonts w:hint="eastAsia" w:ascii="Times New Roman" w:hAnsi="Times New Roman"/>
                <w:sz w:val="21"/>
                <w:szCs w:val="21"/>
              </w:rPr>
              <w:t>备注</w:t>
            </w:r>
          </w:p>
        </w:tc>
        <w:tc>
          <w:tcPr>
            <w:tcW w:w="8608" w:type="dxa"/>
            <w:gridSpan w:val="4"/>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pStyle w:val="4"/>
              <w:widowControl/>
              <w:wordWrap w:val="0"/>
              <w:spacing w:before="0" w:beforeAutospacing="0" w:after="0" w:afterAutospacing="0"/>
              <w:jc w:val="both"/>
              <w:rPr>
                <w:rFonts w:ascii="宋体" w:hAnsi="宋体" w:eastAsia="宋体" w:cs="宋体"/>
                <w:sz w:val="21"/>
                <w:szCs w:val="21"/>
              </w:rPr>
            </w:pPr>
          </w:p>
        </w:tc>
      </w:tr>
    </w:tbl>
    <w:p>
      <w:pPr>
        <w:ind w:left="-619" w:leftChars="-295" w:right="-733" w:rightChars="-349"/>
      </w:pPr>
      <w:r>
        <w:rPr>
          <w:rFonts w:hint="eastAsia"/>
        </w:rPr>
        <w:t>注：本表格由负责整改落实的职能部门进行填写，在整改落实</w:t>
      </w:r>
      <w:r>
        <w:rPr>
          <w:rFonts w:hint="eastAsia"/>
          <w:color w:val="auto"/>
        </w:rPr>
        <w:t>后将纸质稿、电子稿交质量</w:t>
      </w:r>
      <w:r>
        <w:rPr>
          <w:rFonts w:hint="eastAsia"/>
        </w:rPr>
        <w:t>评估中心。</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265CFC-835F-4D23-9909-82EC70B9FD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1AA9357-1D5B-4CD7-96FA-C25C5015954B}"/>
  </w:font>
  <w:font w:name="微软雅黑">
    <w:panose1 w:val="020B0503020204020204"/>
    <w:charset w:val="86"/>
    <w:family w:val="swiss"/>
    <w:pitch w:val="default"/>
    <w:sig w:usb0="80000287" w:usb1="280F3C52" w:usb2="00000016" w:usb3="00000000" w:csb0="0004001F" w:csb1="00000000"/>
    <w:embedRegular r:id="rId3" w:fontKey="{A2FD7F58-814E-4532-B8F5-B1DC530B0771}"/>
  </w:font>
  <w:font w:name="仿宋">
    <w:panose1 w:val="02010609060101010101"/>
    <w:charset w:val="86"/>
    <w:family w:val="modern"/>
    <w:pitch w:val="default"/>
    <w:sig w:usb0="800002BF" w:usb1="38CF7CFA" w:usb2="00000016" w:usb3="00000000" w:csb0="00040001" w:csb1="00000000"/>
    <w:embedRegular r:id="rId4" w:fontKey="{5DA9643C-9831-44AC-B855-C14C131A9ABF}"/>
  </w:font>
  <w:font w:name="方正楷体_GB2312">
    <w:panose1 w:val="02000000000000000000"/>
    <w:charset w:val="86"/>
    <w:family w:val="auto"/>
    <w:pitch w:val="default"/>
    <w:sig w:usb0="A00002BF" w:usb1="184F6CFA" w:usb2="00000012" w:usb3="00000000" w:csb0="00040001" w:csb1="00000000"/>
    <w:embedRegular r:id="rId5" w:fontKey="{8412DD13-F9F2-48CB-AB6F-2B2D400ED9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- 5 -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3ZjhkNmVmMjJhNzZmOGQ3ZTU1MmRjM2E0MDhiODEifQ=="/>
  </w:docVars>
  <w:rsids>
    <w:rsidRoot w:val="3A497738"/>
    <w:rsid w:val="003768AE"/>
    <w:rsid w:val="0042302C"/>
    <w:rsid w:val="0059461A"/>
    <w:rsid w:val="008760F4"/>
    <w:rsid w:val="00CD1736"/>
    <w:rsid w:val="00CF1F2F"/>
    <w:rsid w:val="00D25002"/>
    <w:rsid w:val="045D79B7"/>
    <w:rsid w:val="04991D9B"/>
    <w:rsid w:val="0E8A2F6A"/>
    <w:rsid w:val="13DC3588"/>
    <w:rsid w:val="1C305DA5"/>
    <w:rsid w:val="24F56E67"/>
    <w:rsid w:val="3A497738"/>
    <w:rsid w:val="3C551FE7"/>
    <w:rsid w:val="5A0638D1"/>
    <w:rsid w:val="5CD765E0"/>
    <w:rsid w:val="5D8E030D"/>
    <w:rsid w:val="656E2699"/>
    <w:rsid w:val="683134FF"/>
    <w:rsid w:val="6ACD1655"/>
    <w:rsid w:val="6C1A3D92"/>
    <w:rsid w:val="775C3661"/>
    <w:rsid w:val="79162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1416</Words>
  <Characters>1433</Characters>
  <Lines>11</Lines>
  <Paragraphs>3</Paragraphs>
  <TotalTime>7</TotalTime>
  <ScaleCrop>false</ScaleCrop>
  <LinksUpToDate>false</LinksUpToDate>
  <CharactersWithSpaces>1508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2023-10-16T06:48:00Z</dcterms:created>
  <dc:creator>冯豆豆</dc:creator>
  <cp:lastModifiedBy>aileen come</cp:lastModifiedBy>
  <dcterms:modified xsi:type="dcterms:W3CDTF">2023-10-30T07:21:05Z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0C914AEC96774EB9A54B4CBF65F3D726_13</vt:lpwstr>
  </property>
</Properties>
</file>